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CA" w:rsidRPr="001516CA" w:rsidRDefault="001516CA" w:rsidP="0015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751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5F" w:rsidRDefault="0098085F" w:rsidP="009808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проєкт</w:t>
      </w:r>
      <w:proofErr w:type="spellEnd"/>
    </w:p>
    <w:p w:rsidR="001516CA" w:rsidRPr="001516CA" w:rsidRDefault="001516CA" w:rsidP="00151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УКРАЇНА</w:t>
      </w:r>
    </w:p>
    <w:p w:rsidR="001516CA" w:rsidRPr="001516CA" w:rsidRDefault="001516CA" w:rsidP="0015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КОЛОМИЙСЬКА МІСЬКА РАДА </w:t>
      </w:r>
    </w:p>
    <w:p w:rsidR="001516CA" w:rsidRPr="001516CA" w:rsidRDefault="001516CA" w:rsidP="0015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Виконавчий комітет</w:t>
      </w:r>
    </w:p>
    <w:p w:rsidR="001516CA" w:rsidRPr="001516CA" w:rsidRDefault="001516CA" w:rsidP="0015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Р І Ш Е Н </w:t>
      </w:r>
      <w:proofErr w:type="spellStart"/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Н</w:t>
      </w:r>
      <w:proofErr w:type="spellEnd"/>
      <w:r w:rsidRPr="001516C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Я</w:t>
      </w:r>
    </w:p>
    <w:p w:rsidR="001516CA" w:rsidRPr="001516CA" w:rsidRDefault="001516CA" w:rsidP="0015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CA" w:rsidRPr="001516CA" w:rsidRDefault="001516CA" w:rsidP="00151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6C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______________</w:t>
      </w:r>
      <w:r w:rsidRPr="001516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 w:rsidR="00980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1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м. Коломия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151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№______</w:t>
      </w:r>
    </w:p>
    <w:p w:rsidR="001516CA" w:rsidRPr="001516CA" w:rsidRDefault="001516CA" w:rsidP="00151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516CA" w:rsidRDefault="001516CA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</w:tblGrid>
      <w:tr w:rsidR="001516CA" w:rsidRPr="001516CA" w:rsidTr="0098085F">
        <w:trPr>
          <w:tblCellSpacing w:w="0" w:type="dxa"/>
        </w:trPr>
        <w:tc>
          <w:tcPr>
            <w:tcW w:w="4253" w:type="dxa"/>
            <w:hideMark/>
          </w:tcPr>
          <w:p w:rsidR="001516CA" w:rsidRPr="001516CA" w:rsidRDefault="001516CA" w:rsidP="005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16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Пр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по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кладання 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обов’язків за ведення</w:t>
            </w:r>
            <w:r w:rsidR="005F2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військового обліку призовників</w:t>
            </w:r>
            <w:r w:rsidR="00077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військово</w:t>
            </w:r>
            <w:r w:rsidR="0098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зобов’язаних та бронювання </w:t>
            </w:r>
            <w:r w:rsidR="005A6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ій</w:t>
            </w:r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ськовозобов’язаних на </w:t>
            </w:r>
            <w:proofErr w:type="spellStart"/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</w:t>
            </w:r>
            <w:proofErr w:type="spellEnd"/>
            <w:r w:rsidRPr="0015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сіл</w:t>
            </w:r>
          </w:p>
        </w:tc>
      </w:tr>
    </w:tbl>
    <w:p w:rsidR="001516CA" w:rsidRDefault="001516CA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516CA" w:rsidRPr="001516CA" w:rsidRDefault="001516CA" w:rsidP="0015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516CA" w:rsidRPr="001516CA" w:rsidRDefault="001516CA" w:rsidP="0098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постанови Кабінету Міністрів України від 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30.12.2022року № 1487</w:t>
      </w:r>
      <w:r w:rsidR="009A4035" w:rsidRPr="009A4035">
        <w:t xml:space="preserve"> </w:t>
      </w:r>
      <w:r w:rsidR="009A4035">
        <w:t>«</w:t>
      </w:r>
      <w:r w:rsidR="009A4035" w:rsidRP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Порядку організації та ведення військового обліку призовників, військовозобов’язаних та резервістів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керуючись Законом України “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військовий обов’язок і військову службу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”, Законом України “Про місцеве самоврядування в Україні”, з метою забезпечення персонально-первинного обліку призовників і військовозобов’язаних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у сільській місцевості, 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зв</w:t>
      </w:r>
      <w:r w:rsidR="00077AEA" w:rsidRP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язку з відсутністю </w:t>
      </w:r>
      <w:r w:rsidR="00077AEA" w:rsidRP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територіальн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</w:t>
      </w:r>
      <w:r w:rsidR="00077AEA" w:rsidRP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центр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ів</w:t>
      </w:r>
      <w:r w:rsidR="00077AEA" w:rsidRP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комплектування та соціальної підтримки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селах</w:t>
      </w:r>
      <w:r w:rsidR="00077AEA" w:rsidRPr="0007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виконавчий комітет міської ради</w:t>
      </w:r>
    </w:p>
    <w:p w:rsidR="00077AEA" w:rsidRDefault="00077AEA" w:rsidP="0015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516CA" w:rsidRDefault="001516CA" w:rsidP="0015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516CA" w:rsidRPr="00077AEA" w:rsidRDefault="00077AEA" w:rsidP="00077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 обов’язки за ведення військового обліку призовників і військовозобов’язаних та б</w:t>
      </w:r>
      <w:r w:rsid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ронювання військовозобов’язаних:</w:t>
      </w:r>
    </w:p>
    <w:p w:rsidR="001516CA" w:rsidRPr="001516CA" w:rsidRDefault="001516CA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Воскресинці на</w:t>
      </w: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БІЛЕЙЧУКА Любомира Юрійовича 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5A6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Воскресинцівському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162E2F" w:rsidRDefault="001516CA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</w:t>
      </w:r>
      <w:r w:rsidR="00077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Королівка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62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9A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ГУШУЛЕЯ Романа Васильовича</w:t>
      </w:r>
      <w:r w:rsidR="00162E2F"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162E2F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5A6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62E2F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Кор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олівському </w:t>
      </w:r>
      <w:proofErr w:type="spellStart"/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="00162E2F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077AEA" w:rsidRDefault="00077AEA" w:rsidP="00077A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Корнич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Грушів на </w:t>
      </w: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ФЕДУНИКА Романа Михайловича 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Корницькому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1516CA" w:rsidRPr="001516CA" w:rsidRDefault="001516CA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</w:t>
      </w:r>
      <w:r w:rsidR="00162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Раківчик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КЛЮЧІВСЬКОГО Петра Ярославовича 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5A6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Раківчицькому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1516CA" w:rsidRPr="001516CA" w:rsidRDefault="00162E2F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селі</w:t>
      </w:r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Шепарівці</w:t>
      </w:r>
      <w:proofErr w:type="spellEnd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1516CA"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МУЦАК Ірину Мирославівну </w:t>
      </w:r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5A6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Шепарівцівському</w:t>
      </w:r>
      <w:proofErr w:type="spellEnd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1516CA" w:rsidRPr="001516CA" w:rsidRDefault="001516CA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</w:t>
      </w:r>
      <w:r w:rsidR="00162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Товмачик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ФИЛИПІВ Любов Дмитрівну 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5A6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Товмачицькому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9A4035" w:rsidRPr="001516CA" w:rsidRDefault="001516CA" w:rsidP="009A4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с</w:t>
      </w:r>
      <w:r w:rsidR="00162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елах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Іванівці,</w:t>
      </w:r>
      <w:r w:rsidR="00162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Саджавка</w:t>
      </w:r>
      <w:proofErr w:type="spellEnd"/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Кубаївка</w:t>
      </w:r>
      <w:proofErr w:type="spellEnd"/>
      <w:r w:rsidR="009A4035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9A4035"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9A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A4035"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МОЧЕРНЮКА Василя Васильовича </w:t>
      </w:r>
      <w:r w:rsidR="009A4035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A4035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A4035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A4035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Івані</w:t>
      </w:r>
      <w:r w:rsidR="004268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вецькому</w:t>
      </w:r>
      <w:proofErr w:type="spellEnd"/>
      <w:r w:rsidR="004268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268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="004268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</w:t>
      </w:r>
    </w:p>
    <w:p w:rsidR="001516CA" w:rsidRPr="001516CA" w:rsidRDefault="001516CA" w:rsidP="00E962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516CA" w:rsidRPr="001516CA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Старостам забезпечити:</w:t>
      </w:r>
    </w:p>
    <w:p w:rsidR="001516CA" w:rsidRPr="000D0EDB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взяття на військовий облік громадян, які прибули на нове місце проживання до адміністративно-територіальної одиниці, що обслуговується виконавчим комітетом </w:t>
      </w:r>
      <w:r w:rsidR="00AA535E"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тільки після їх взяття на військовий облік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територіальному центрі комплектування та соціальної підтримки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516CA" w:rsidRPr="000D0EDB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0" w:name="RichViewCheckpoint0"/>
      <w:bookmarkEnd w:id="0"/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зняття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територіальному центрі комплектування та соціальної підтримки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516CA" w:rsidRPr="000D0EDB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1" w:name="RichViewCheckpoint1"/>
      <w:bookmarkEnd w:id="1"/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оповіщення на вимогу </w:t>
      </w:r>
      <w:r w:rsidR="000D0EDB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територіального центру комплектування та соціальної підтримки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призовників і військовозобов’язаних про їх виклик до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територіального центру комплектування та соціальної підтримки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516CA" w:rsidRPr="000D0EDB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2" w:name="RichViewCheckpoint2"/>
      <w:bookmarkEnd w:id="2"/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постійну взаємодію з </w:t>
      </w:r>
      <w:r w:rsidR="000D0EDB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територіальними центрами комплектування та соціальної підтримки</w:t>
      </w:r>
      <w:r w:rsidR="000D0EDB"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призовників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військовими частинами щодо строків та способів звіряння даних карток первинного обліку призовників і військовозобов’язаних з обліковими даними </w:t>
      </w:r>
      <w:r w:rsidR="000D0EDB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територіального центру комплектування та соціальної підтримки</w:t>
      </w:r>
      <w:r w:rsidR="000D0EDB"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призовників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внесення відповідних змін до них, а також щодо оповіщення призовників і військовозобов’язаних;</w:t>
      </w:r>
    </w:p>
    <w:p w:rsidR="001516CA" w:rsidRPr="000D0EDB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3" w:name="RichViewCheckpoint3"/>
      <w:bookmarkEnd w:id="3"/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п’ятиденний строк з дня подання відповідних документів внесення до карток первинного обліку призовників і військовозобов’язаних змін щодо їх сімейного стану, місця проживання, освіти, місця роботи і посади та надсилають щомісяця до 5 числа до </w:t>
      </w:r>
      <w:r w:rsidR="004268A8" w:rsidRPr="000D0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територіального центру комплектування та соціальної підтримки</w:t>
      </w:r>
      <w:r w:rsidRPr="000D0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зміну облікових даних;</w:t>
      </w:r>
    </w:p>
    <w:p w:rsidR="009522CF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RichViewCheckpoint4"/>
      <w:bookmarkEnd w:id="4"/>
      <w:r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звіряння не рідше одного разу на рік облікових даних карток первинного обліку призовників і військовозобов’язаних, які пе</w:t>
      </w:r>
      <w:r w:rsidR="009522CF"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ребувають на військовому обліку</w:t>
      </w:r>
      <w:r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5" w:name="RichViewCheckpoint5"/>
      <w:bookmarkEnd w:id="5"/>
      <w:r w:rsidR="009522CF"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документами щодо реєстрації місця проживання фізичних осіб або з відображенням в електронній формі інформації, що міститься в таких документах, які можуть пред’являтися (надаватися) з використанням мобільного додатка Порталу Дія; </w:t>
      </w:r>
      <w:bookmarkStart w:id="6" w:name="RichViewCheckpoint6"/>
      <w:bookmarkStart w:id="7" w:name="RichViewCheckpoint7"/>
      <w:bookmarkEnd w:id="6"/>
      <w:bookmarkEnd w:id="7"/>
      <w:r w:rsidR="009522CF"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>з місцем фактичного проживання призовників, військовозобов’язаних та резервістів;</w:t>
      </w:r>
    </w:p>
    <w:p w:rsidR="009522CF" w:rsidRPr="009522CF" w:rsidRDefault="009522CF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2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звіряння не рідше одного разу на рік облікових даних карток первинного обліку призовників, які перебувають на персонально-первинному військовому обліку з обліковими даними територіальних центрів комплектування та соціальної підтримки (звіряння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службу, а також в інші строки, визначені районними (міськими) територіальними центрами комплектування та соціальної підтримки);</w:t>
      </w:r>
    </w:p>
    <w:p w:rsidR="001516CA" w:rsidRPr="00EF634A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приймання під розписку від призовників і військовозобов’язаних їх військово-облікових документів для подання до </w:t>
      </w:r>
      <w:r w:rsidR="00EF634A"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територіальних центрів </w:t>
      </w:r>
      <w:r w:rsidR="00EF634A"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комплектування та соціальної підтримки </w:t>
      </w:r>
      <w:r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звіряння з картками первинного обліку та оформлення бронювання військовозобов’язаних на період мобілізації та воєнний час;</w:t>
      </w:r>
    </w:p>
    <w:p w:rsidR="00EF634A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RichViewCheckpoint8"/>
      <w:bookmarkEnd w:id="8"/>
      <w:r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 контроль за виконанням громадянами, які перебувають на території відповідно</w:t>
      </w:r>
      <w:r w:rsidR="002E4784"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3DB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села</w:t>
      </w:r>
      <w:r w:rsidR="00EF634A"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 правил військового обліку та проведенням відп</w:t>
      </w:r>
      <w:r w:rsidR="00EF634A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овідної роз’яснювальної роботи;</w:t>
      </w:r>
    </w:p>
    <w:p w:rsidR="001516CA" w:rsidRPr="002E4784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інформування </w:t>
      </w:r>
      <w:r w:rsidR="002E4784"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територіальних центрів комплектування та соціальної підтримки </w:t>
      </w:r>
      <w:r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всіх громадян, посадових осіб підприємств, установ та організацій та власників будинків, які порушують правила військового обліку, для притягнення винних до відповідальності згідно із законом;</w:t>
      </w:r>
    </w:p>
    <w:p w:rsidR="001516CA" w:rsidRPr="002E4784" w:rsidRDefault="002E4784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9" w:name="RichViewCheckpoint10"/>
      <w:bookmarkEnd w:id="9"/>
      <w:r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інформування щомісяця до 5 числа територіальних центрів комплектування та соціальної підтримки про державну реєстрацію утворення, припинення підприємств, установ та організацій, які розташовані на території адміністративно-територіальної одиниці</w:t>
      </w:r>
      <w:r w:rsidR="001516CA"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516CA" w:rsidRPr="002E4784" w:rsidRDefault="001516CA" w:rsidP="001516CA">
      <w:pPr>
        <w:shd w:val="clear" w:color="auto" w:fill="FFFFFF"/>
        <w:spacing w:after="9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10" w:name="RichViewCheckpoint11"/>
      <w:bookmarkEnd w:id="10"/>
      <w:r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</w:r>
      <w:r w:rsidR="002E4784"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територіальних центрів комплектування та соціальної підтримки</w:t>
      </w:r>
      <w:r w:rsidRPr="002E4784">
        <w:rPr>
          <w:rFonts w:ascii="Times New Roman" w:eastAsia="Times New Roman" w:hAnsi="Times New Roman" w:cs="Times New Roman"/>
          <w:sz w:val="28"/>
          <w:szCs w:val="28"/>
          <w:lang w:eastAsia="uk-UA"/>
        </w:rPr>
        <w:t>. Журнал ведеться до повного закінчення, після чого зберігається згідно із встановленим порядком протягом семи років.</w:t>
      </w:r>
    </w:p>
    <w:p w:rsidR="001516CA" w:rsidRDefault="001516CA" w:rsidP="001516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 своїй діяльності чітко керуватись Законом України “Про місцеве самоврядування в Україні”, Законом України “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військовий обов’язок і військову службу</w:t>
      </w:r>
      <w:r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” та постановою Кабінету Міністрів України </w:t>
      </w:r>
      <w:r w:rsidR="00EF634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30.12.2022року № 1487</w:t>
      </w:r>
      <w:r w:rsidR="00EF634A" w:rsidRPr="009A4035">
        <w:t xml:space="preserve"> </w:t>
      </w:r>
      <w:r w:rsidR="00EF634A">
        <w:t>«</w:t>
      </w:r>
      <w:r w:rsidR="00EF634A" w:rsidRPr="009A4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Порядку організації та ведення військового обліку призовників, військовозобов’язаних та резервістів</w:t>
      </w:r>
      <w:r w:rsid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EF634A" w:rsidRPr="00EF634A" w:rsidRDefault="00661008" w:rsidP="00E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Вважати такими, що втратили чинність рішення виконавчого комітету міської ради від </w:t>
      </w:r>
      <w:r w:rsidR="00EF634A" w:rsidRP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15.12.2020 року № 248 «</w:t>
      </w:r>
      <w:r w:rsidR="00EF634A" w:rsidRPr="00EF6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</w:t>
      </w:r>
      <w:r w:rsidR="00EF634A" w:rsidRPr="00EF6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 покладання </w:t>
      </w:r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обов’язків за ведення військового обліку призовників і військовозобов’язаних та бронювання військовозобов’язаних на </w:t>
      </w:r>
      <w:proofErr w:type="spellStart"/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старост</w:t>
      </w:r>
      <w:proofErr w:type="spellEnd"/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</w:t>
      </w:r>
      <w:r w:rsidR="00EF634A" w:rsidRP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»; від 22.02.2022 року № 45 «Про внесення змін до рішення виконавчого комітету міської ради від 15.12.2020р. № 248 «</w:t>
      </w:r>
      <w:r w:rsidR="00EF634A" w:rsidRPr="00EF6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</w:t>
      </w:r>
      <w:r w:rsidR="00EF634A" w:rsidRPr="00EF6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 покладання </w:t>
      </w:r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обов’язків за ведення військового обліку призовників і військовозобов’язаних та бронювання військовозобов’язаних на </w:t>
      </w:r>
      <w:proofErr w:type="spellStart"/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старост</w:t>
      </w:r>
      <w:proofErr w:type="spellEnd"/>
      <w:r w:rsidR="00EF634A" w:rsidRPr="00EF63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</w:t>
      </w:r>
      <w:r w:rsidR="00EF634A" w:rsidRP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EF6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16CA" w:rsidRPr="001516CA" w:rsidRDefault="009522CF" w:rsidP="001516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1516CA" w:rsidRPr="00151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рішення покласти на заступника міського голови з питань діяльності вик</w:t>
      </w:r>
      <w:r w:rsidR="00AA53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r w:rsidR="00661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вчих органів ради Романа ОСТЯКА.</w:t>
      </w:r>
    </w:p>
    <w:p w:rsidR="001516CA" w:rsidRPr="001516CA" w:rsidRDefault="001516CA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AA535E" w:rsidRDefault="00AA535E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A535E" w:rsidRDefault="00AA535E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A535E" w:rsidRDefault="00AA535E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516CA" w:rsidRPr="001516CA" w:rsidRDefault="001516CA" w:rsidP="0015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                                  </w:t>
      </w:r>
      <w:bookmarkStart w:id="11" w:name="_GoBack"/>
      <w:bookmarkEnd w:id="11"/>
      <w:r w:rsidRPr="0015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 Богдан СТАНІСЛАВСЬКИЙ</w:t>
      </w:r>
    </w:p>
    <w:p w:rsidR="00017A06" w:rsidRDefault="00017A06"/>
    <w:sectPr w:rsidR="00017A06" w:rsidSect="0098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083E"/>
    <w:multiLevelType w:val="hybridMultilevel"/>
    <w:tmpl w:val="BF3A8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A8"/>
    <w:rsid w:val="00017A06"/>
    <w:rsid w:val="00077AEA"/>
    <w:rsid w:val="000A48A8"/>
    <w:rsid w:val="000D0EDB"/>
    <w:rsid w:val="001516CA"/>
    <w:rsid w:val="00162E2F"/>
    <w:rsid w:val="002E4784"/>
    <w:rsid w:val="00353DB9"/>
    <w:rsid w:val="003F74DF"/>
    <w:rsid w:val="00403AE9"/>
    <w:rsid w:val="004268A8"/>
    <w:rsid w:val="005724F8"/>
    <w:rsid w:val="005A6210"/>
    <w:rsid w:val="005F2EC2"/>
    <w:rsid w:val="00661008"/>
    <w:rsid w:val="00855B90"/>
    <w:rsid w:val="009522CF"/>
    <w:rsid w:val="0098085F"/>
    <w:rsid w:val="009A4035"/>
    <w:rsid w:val="00AA535E"/>
    <w:rsid w:val="00D56360"/>
    <w:rsid w:val="00E9627E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C15A0"/>
  <w15:docId w15:val="{FB37BE3D-CDD3-44D8-B808-616FD13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1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6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4233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Зореслава Богданівна</dc:creator>
  <cp:keywords/>
  <dc:description/>
  <cp:lastModifiedBy>Свінціцька Ірина Миколаївна</cp:lastModifiedBy>
  <cp:revision>5</cp:revision>
  <cp:lastPrinted>2024-01-18T12:26:00Z</cp:lastPrinted>
  <dcterms:created xsi:type="dcterms:W3CDTF">2024-01-17T12:47:00Z</dcterms:created>
  <dcterms:modified xsi:type="dcterms:W3CDTF">2024-01-30T07:57:00Z</dcterms:modified>
</cp:coreProperties>
</file>